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4º BATALHÃO DE AVIAÇÃO DO EXÉRCITO</w:t>
      </w:r>
    </w:p>
    <w:p>
      <w:pPr>
        <w:pStyle w:val="Normal"/>
        <w:ind w:right="-30" w:hanging="0"/>
        <w:jc w:val="center"/>
        <w:rPr>
          <w:color w:val="000000"/>
        </w:rPr>
      </w:pPr>
      <w:r>
        <w:rPr>
          <w:rFonts w:cs="Times New Roman" w:ascii="Times New Roman" w:hAnsi="Times New Roman"/>
          <w:b/>
          <w:color w:val="000000"/>
          <w:sz w:val="22"/>
          <w:szCs w:val="22"/>
          <w:lang w:eastAsia="en-US"/>
        </w:rPr>
        <w:t>(</w:t>
      </w:r>
      <w:r>
        <w:rPr>
          <w:rFonts w:cs="Times New Roman" w:ascii="Times New Roman" w:hAnsi="Times New Roman"/>
          <w:b/>
          <w:i/>
          <w:iCs/>
          <w:color w:val="000000"/>
          <w:sz w:val="22"/>
          <w:szCs w:val="22"/>
          <w:lang w:eastAsia="en-US"/>
        </w:rPr>
        <w:t>ESQUADRÃO CORONEL RICARDO PAVANELLO</w:t>
      </w:r>
      <w:r>
        <w:rPr>
          <w:rFonts w:cs="Times New Roman" w:ascii="Times New Roman" w:hAnsi="Times New Roman"/>
          <w:b/>
          <w:color w:val="000000"/>
          <w:sz w:val="22"/>
          <w:szCs w:val="22"/>
          <w:lang w:eastAsia="en-US"/>
        </w:rPr>
        <w:t>)</w:t>
      </w:r>
    </w:p>
    <w:p>
      <w:pPr>
        <w:pStyle w:val="Normal"/>
        <w:spacing w:lineRule="auto" w:line="276"/>
        <w:jc w:val="center"/>
        <w:rPr>
          <w:color w:val="000000"/>
        </w:rPr>
      </w:pPr>
      <w:r>
        <w:rPr>
          <w:rFonts w:cs="Arial"/>
          <w:b/>
          <w:bCs/>
          <w:color w:val="000000"/>
          <w:szCs w:val="20"/>
        </w:rPr>
        <w:t xml:space="preserve">AVISO DE DISPENSA ELETRÔNICA Nº </w:t>
      </w:r>
      <w:r>
        <w:rPr>
          <w:rFonts w:cs="Arial"/>
          <w:b/>
          <w:bCs/>
          <w:color w:val="auto"/>
          <w:szCs w:val="20"/>
        </w:rPr>
        <w:t>90002</w:t>
      </w:r>
      <w:r>
        <w:rPr>
          <w:rFonts w:cs="Arial"/>
          <w:b/>
          <w:bCs/>
          <w:color w:val="000000"/>
          <w:szCs w:val="20"/>
        </w:rPr>
        <w:t>/202</w:t>
      </w:r>
      <w:r>
        <w:rPr>
          <w:rFonts w:cs="Arial"/>
          <w:b/>
          <w:bCs/>
          <w:color w:val="000000"/>
          <w:szCs w:val="20"/>
        </w:rPr>
        <w:t>4</w:t>
      </w:r>
    </w:p>
    <w:p>
      <w:pPr>
        <w:pStyle w:val="Normal"/>
        <w:spacing w:lineRule="auto" w:line="276" w:before="0" w:after="120"/>
        <w:ind w:right="-15" w:hanging="0"/>
        <w:jc w:val="center"/>
        <w:rPr>
          <w:color w:val="000000"/>
        </w:rPr>
      </w:pPr>
      <w:r>
        <w:rPr>
          <w:rFonts w:cs="Arial"/>
          <w:b/>
          <w:bCs/>
          <w:color w:val="000000"/>
          <w:szCs w:val="20"/>
        </w:rPr>
        <w:t xml:space="preserve">(Processo Administrativo n° </w:t>
      </w:r>
      <w:bookmarkStart w:id="0" w:name="__DdeLink__689_2907344279"/>
      <w:r>
        <w:rPr>
          <w:b/>
          <w:color w:val="000000"/>
          <w:w w:val="105"/>
          <w:position w:val="1"/>
        </w:rPr>
        <w:t>64020.00</w:t>
      </w:r>
      <w:r>
        <w:rPr>
          <w:b/>
          <w:color w:val="000000"/>
          <w:w w:val="105"/>
          <w:position w:val="1"/>
        </w:rPr>
        <w:t>0456</w:t>
      </w:r>
      <w:r>
        <w:rPr>
          <w:b/>
          <w:color w:val="000000"/>
          <w:w w:val="105"/>
          <w:position w:val="1"/>
        </w:rPr>
        <w:t>/202</w:t>
      </w:r>
      <w:r>
        <w:rPr>
          <w:b/>
          <w:color w:val="000000"/>
          <w:w w:val="105"/>
          <w:position w:val="1"/>
        </w:rPr>
        <w:t>4</w:t>
      </w:r>
      <w:r>
        <w:rPr>
          <w:b/>
          <w:color w:val="000000"/>
          <w:w w:val="105"/>
          <w:position w:val="1"/>
        </w:rPr>
        <w:t>-</w:t>
      </w:r>
      <w:bookmarkEnd w:id="0"/>
      <w:r>
        <w:rPr>
          <w:b/>
          <w:color w:val="000000"/>
          <w:w w:val="105"/>
          <w:position w:val="1"/>
        </w:rPr>
        <w:t>08</w:t>
      </w:r>
      <w:r>
        <w:rPr>
          <w:rFonts w:cs="Arial"/>
          <w:b/>
          <w:bCs/>
          <w:color w:val="000000"/>
          <w:szCs w:val="20"/>
        </w:rPr>
        <w:t>)</w:t>
      </w:r>
    </w:p>
    <w:p>
      <w:pPr>
        <w:pStyle w:val="Normal"/>
        <w:rPr>
          <w:rFonts w:cs="Arial"/>
          <w:color w:val="000000"/>
        </w:rPr>
      </w:pPr>
      <w:r>
        <w:rPr>
          <w:rFonts w:cs="Arial"/>
          <w:color w:val="000000"/>
        </w:rPr>
      </w:r>
    </w:p>
    <w:p>
      <w:pPr>
        <w:pStyle w:val="Normal"/>
        <w:snapToGrid w:val="false"/>
        <w:spacing w:lineRule="auto" w:line="276" w:before="0" w:after="120"/>
        <w:ind w:right="-30" w:firstLine="540"/>
        <w:jc w:val="both"/>
        <w:rPr>
          <w:color w:val="000000"/>
        </w:rPr>
      </w:pPr>
      <w:r>
        <w:rPr>
          <w:rFonts w:cs="Arial"/>
          <w:color w:val="000000"/>
          <w:szCs w:val="20"/>
        </w:rPr>
        <w:t xml:space="preserve">Torna-se público que o (a) </w:t>
      </w:r>
      <w:r>
        <w:rPr>
          <w:rFonts w:eastAsia="Arial" w:cs="Arial"/>
          <w:color w:val="000000"/>
          <w:szCs w:val="20"/>
        </w:rPr>
        <w:t>4° BATALHÃO DE AVIAÇÃO DO EXÉRCITO - 4° BAvEx</w:t>
      </w:r>
      <w:r>
        <w:rPr>
          <w:rFonts w:cs="Arial"/>
          <w:color w:val="000000"/>
          <w:szCs w:val="20"/>
        </w:rPr>
        <w:t xml:space="preserve">, por meio do(a) </w:t>
      </w:r>
      <w:r>
        <w:rPr>
          <w:rFonts w:eastAsia="Arial" w:cs="Arial"/>
          <w:color w:val="000000"/>
          <w:szCs w:val="20"/>
        </w:rPr>
        <w:t>Seção de Aquisições, Licitações e Contratos</w:t>
      </w:r>
      <w:r>
        <w:rPr>
          <w:rFonts w:cs="Arial"/>
          <w:color w:val="000000"/>
          <w:szCs w:val="20"/>
        </w:rPr>
        <w:t xml:space="preserve">, realizará Dispensa Eletrônica, </w:t>
      </w:r>
      <w:r>
        <w:rPr>
          <w:rFonts w:cs="Arial"/>
          <w:bCs/>
          <w:color w:val="000000"/>
          <w:szCs w:val="20"/>
        </w:rPr>
        <w:t xml:space="preserve">com critério de julgamento </w:t>
      </w:r>
      <w:r>
        <w:rPr>
          <w:rFonts w:cs="Arial"/>
          <w:b/>
          <w:color w:val="000000"/>
          <w:szCs w:val="20"/>
        </w:rPr>
        <w:t>menor preço</w:t>
      </w:r>
      <w:r>
        <w:rPr>
          <w:rFonts w:cs="Arial"/>
          <w:b/>
          <w:bCs/>
          <w:color w:val="000000"/>
          <w:szCs w:val="20"/>
        </w:rPr>
        <w:t xml:space="preserve">, </w:t>
      </w:r>
      <w:r>
        <w:rPr>
          <w:rFonts w:cs="Arial"/>
          <w:color w:val="000000"/>
          <w:szCs w:val="20"/>
        </w:rPr>
        <w:t>na hipótese do art. 75</w:t>
      </w:r>
      <w:r>
        <w:rPr>
          <w:rFonts w:cs="Arial"/>
          <w:i/>
          <w:iCs/>
          <w:color w:val="000000"/>
          <w:szCs w:val="20"/>
        </w:rPr>
        <w:t xml:space="preserve">, </w:t>
      </w:r>
      <w:r>
        <w:rPr>
          <w:rFonts w:cs="Arial"/>
          <w:b/>
          <w:iCs/>
          <w:color w:val="000000"/>
          <w:szCs w:val="20"/>
        </w:rPr>
        <w:t>inciso  II</w:t>
      </w:r>
      <w:r>
        <w:rPr>
          <w:rFonts w:cs="Arial"/>
          <w:i/>
          <w:iCs/>
          <w:color w:val="000000"/>
          <w:szCs w:val="20"/>
        </w:rPr>
        <w:t xml:space="preserve">, </w:t>
      </w:r>
      <w:r>
        <w:rPr>
          <w:rFonts w:cs="Arial"/>
          <w:bCs/>
          <w:color w:val="000000"/>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szCs w:val="20"/>
        </w:rPr>
        <w:t xml:space="preserve">Data da sessão: </w:t>
      </w:r>
      <w:r>
        <w:rPr>
          <w:rFonts w:cs="Arial"/>
          <w:color w:val="auto"/>
          <w:szCs w:val="20"/>
        </w:rPr>
        <w:t>26</w:t>
      </w:r>
      <w:r>
        <w:rPr>
          <w:rFonts w:cs="Arial"/>
          <w:color w:val="auto"/>
          <w:szCs w:val="20"/>
        </w:rPr>
        <w:t>/</w:t>
      </w:r>
      <w:r>
        <w:rPr>
          <w:rFonts w:cs="Arial"/>
          <w:color w:val="auto"/>
          <w:szCs w:val="20"/>
        </w:rPr>
        <w:t>0</w:t>
      </w:r>
      <w:r>
        <w:rPr>
          <w:rFonts w:cs="Arial"/>
          <w:color w:val="auto"/>
          <w:szCs w:val="20"/>
        </w:rPr>
        <w:t>2/202</w:t>
      </w:r>
      <w:r>
        <w:rPr>
          <w:rFonts w:cs="Arial"/>
          <w:color w:val="auto"/>
          <w:szCs w:val="20"/>
        </w:rPr>
        <w:t>4</w:t>
      </w:r>
    </w:p>
    <w:p>
      <w:pPr>
        <w:pStyle w:val="Normal"/>
        <w:rPr>
          <w:rFonts w:cs="Arial"/>
          <w:color w:val="000000"/>
          <w:szCs w:val="20"/>
        </w:rPr>
      </w:pPr>
      <w:r>
        <w:rPr>
          <w:rFonts w:cs="Arial"/>
          <w:color w:val="000000"/>
          <w:szCs w:val="20"/>
        </w:rPr>
        <w:t>Link: www.comprasgovernamentais.gov.br</w:t>
      </w:r>
    </w:p>
    <w:p>
      <w:pPr>
        <w:pStyle w:val="Normal"/>
        <w:rPr>
          <w:rFonts w:cs="Arial"/>
          <w:color w:val="000000"/>
          <w:szCs w:val="20"/>
        </w:rPr>
      </w:pPr>
      <w:r>
        <w:rPr>
          <w:rFonts w:cs="Arial"/>
          <w:color w:val="000000"/>
          <w:szCs w:val="20"/>
        </w:rPr>
        <w:t>Horário da Fase de Lances: 8:00 (horário de Brasília)</w:t>
      </w:r>
    </w:p>
    <w:p>
      <w:pPr>
        <w:pStyle w:val="PADRO"/>
        <w:widowControl/>
        <w:numPr>
          <w:ilvl w:val="0"/>
          <w:numId w:val="1"/>
        </w:numPr>
        <w:spacing w:before="120" w:after="120"/>
        <w:rPr>
          <w:rFonts w:ascii="Arial" w:hAnsi="Arial" w:cs="Arial"/>
          <w:b/>
          <w:b/>
        </w:rPr>
      </w:pPr>
      <w:r>
        <w:rPr>
          <w:rFonts w:cs="Arial" w:ascii="Arial" w:hAnsi="Arial"/>
          <w:b/>
          <w:color w:val="000000"/>
        </w:rPr>
        <w:t>OBJETO DA CONTRATAÇÃO DIRETA</w:t>
      </w:r>
    </w:p>
    <w:p>
      <w:pPr>
        <w:pStyle w:val="PADRO"/>
        <w:widowControl/>
        <w:numPr>
          <w:ilvl w:val="1"/>
          <w:numId w:val="1"/>
        </w:numPr>
        <w:spacing w:before="120" w:after="120"/>
        <w:rPr>
          <w:color w:val="000000"/>
        </w:rPr>
      </w:pPr>
      <w:r>
        <w:rPr>
          <w:rFonts w:cs="Arial" w:ascii="Arial" w:hAnsi="Arial"/>
          <w:iCs/>
          <w:color w:val="000000"/>
          <w:szCs w:val="20"/>
        </w:rPr>
        <w:t xml:space="preserve">A contratação ocorrerá em </w:t>
      </w:r>
      <w:r>
        <w:rPr>
          <w:rFonts w:cs="Arial" w:ascii="Arial" w:hAnsi="Arial"/>
          <w:b/>
          <w:bCs/>
          <w:iCs/>
          <w:color w:val="000000"/>
          <w:szCs w:val="20"/>
        </w:rPr>
        <w:t xml:space="preserve">item </w:t>
      </w:r>
      <w:r>
        <w:rPr>
          <w:rFonts w:eastAsia="WenQuanYi Micro Hei" w:cs="Arial" w:ascii="Arial" w:hAnsi="Arial"/>
          <w:b/>
          <w:bCs/>
          <w:iCs/>
          <w:color w:val="000000"/>
          <w:kern w:val="0"/>
          <w:sz w:val="20"/>
          <w:szCs w:val="20"/>
          <w:lang w:val="pt-BR" w:eastAsia="zh-CN" w:bidi="hi-IN"/>
        </w:rPr>
        <w:t>único</w:t>
      </w:r>
      <w:r>
        <w:rPr>
          <w:rFonts w:cs="Arial" w:ascii="Arial" w:hAnsi="Arial"/>
          <w:b/>
          <w:bCs/>
          <w:iCs/>
          <w:color w:val="000000"/>
          <w:szCs w:val="20"/>
        </w:rPr>
        <w:t>,</w:t>
      </w:r>
      <w:r>
        <w:rPr>
          <w:rFonts w:cs="Arial" w:ascii="Arial" w:hAnsi="Arial"/>
          <w:iCs/>
          <w:color w:val="000000"/>
          <w:szCs w:val="20"/>
        </w:rPr>
        <w:t xml:space="preserve"> conforme tabela constante abaixo</w:t>
      </w:r>
      <w:r>
        <w:rPr>
          <w:rFonts w:cs="Arial" w:ascii="Arial" w:hAnsi="Arial"/>
          <w:i/>
          <w:iCs/>
          <w:color w:val="000000"/>
          <w:szCs w:val="20"/>
        </w:rPr>
        <w:t>.</w:t>
      </w:r>
    </w:p>
    <w:tbl>
      <w:tblPr>
        <w:tblW w:w="10154" w:type="dxa"/>
        <w:jc w:val="center"/>
        <w:tblInd w:w="0" w:type="dxa"/>
        <w:tblLayout w:type="fixed"/>
        <w:tblCellMar>
          <w:top w:w="0" w:type="dxa"/>
          <w:left w:w="98" w:type="dxa"/>
          <w:bottom w:w="0" w:type="dxa"/>
          <w:right w:w="108" w:type="dxa"/>
        </w:tblCellMar>
        <w:tblLook w:val="04a0" w:noHBand="0" w:noVBand="1" w:firstColumn="1" w:lastRow="0" w:lastColumn="0" w:firstRow="1"/>
      </w:tblPr>
      <w:tblGrid>
        <w:gridCol w:w="675"/>
        <w:gridCol w:w="4936"/>
        <w:gridCol w:w="962"/>
        <w:gridCol w:w="695"/>
        <w:gridCol w:w="1531"/>
        <w:gridCol w:w="1354"/>
      </w:tblGrid>
      <w:tr>
        <w:trPr>
          <w:trHeight w:val="1064" w:hRule="atLeast"/>
        </w:trPr>
        <w:tc>
          <w:tcPr>
            <w:tcW w:w="67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Item</w:t>
            </w:r>
          </w:p>
        </w:tc>
        <w:tc>
          <w:tcPr>
            <w:tcW w:w="4936"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Descrição detalhada</w:t>
            </w:r>
          </w:p>
        </w:tc>
        <w:tc>
          <w:tcPr>
            <w:tcW w:w="962"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Unidade</w:t>
            </w:r>
          </w:p>
        </w:tc>
        <w:tc>
          <w:tcPr>
            <w:tcW w:w="69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Qtd</w:t>
            </w:r>
          </w:p>
        </w:tc>
        <w:tc>
          <w:tcPr>
            <w:tcW w:w="1531"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Preço unitário de referência</w:t>
            </w:r>
          </w:p>
        </w:tc>
        <w:tc>
          <w:tcPr>
            <w:tcW w:w="1354" w:type="dxa"/>
            <w:tcBorders>
              <w:top w:val="single" w:sz="4" w:space="0" w:color="000001"/>
              <w:left w:val="single" w:sz="4" w:space="0" w:color="000001"/>
              <w:bottom w:val="single" w:sz="4" w:space="0" w:color="000001"/>
              <w:right w:val="single" w:sz="4" w:space="0" w:color="000001"/>
            </w:tcBorders>
            <w:shd w:color="auto" w:fill="F2F2F2" w:val="clear"/>
            <w:tcMar>
              <w:left w:w="0" w:type="dxa"/>
              <w:right w:w="10" w:type="dxa"/>
            </w:tcM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Preço total</w:t>
            </w:r>
          </w:p>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de referência</w:t>
            </w:r>
          </w:p>
        </w:tc>
      </w:tr>
      <w:tr>
        <w:trPr/>
        <w:tc>
          <w:tcPr>
            <w:tcW w:w="675"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Style w:val="Nfaseforte"/>
                <w:rFonts w:cs="Times New Roman" w:ascii="Times New Roman" w:hAnsi="Times New Roman"/>
                <w:b w:val="false"/>
                <w:bCs w:val="false"/>
                <w:szCs w:val="20"/>
              </w:rPr>
              <w:t>01</w:t>
            </w:r>
          </w:p>
        </w:tc>
        <w:tc>
          <w:tcPr>
            <w:tcW w:w="4936"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jc w:val="both"/>
              <w:rPr/>
            </w:pPr>
            <w:r>
              <w:rPr>
                <w:rStyle w:val="Nfaseforte"/>
                <w:rFonts w:eastAsia="Calibri" w:cs="Times New Roman" w:ascii="Times New Roman" w:hAnsi="Times New Roman"/>
                <w:b w:val="false"/>
                <w:bCs w:val="false"/>
                <w:color w:val="00000A"/>
                <w:kern w:val="0"/>
                <w:sz w:val="20"/>
                <w:szCs w:val="20"/>
                <w:lang w:val="pt-BR" w:eastAsia="pt-BR" w:bidi="ar-SA"/>
              </w:rPr>
              <w:t>Serviço de aferição, calibragem selagem e ensaio com GRU.</w:t>
            </w:r>
          </w:p>
        </w:tc>
        <w:tc>
          <w:tcPr>
            <w:tcW w:w="962"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pacing w:lineRule="auto" w:line="276"/>
              <w:jc w:val="center"/>
              <w:rPr>
                <w:rFonts w:ascii="Times New Roman" w:hAnsi="Times New Roman"/>
                <w:szCs w:val="20"/>
              </w:rPr>
            </w:pPr>
            <w:r>
              <w:rPr>
                <w:rStyle w:val="Nfaseforte"/>
                <w:rFonts w:eastAsia="Calibri" w:cs="Times New Roman" w:ascii="Times New Roman" w:hAnsi="Times New Roman"/>
                <w:b w:val="false"/>
                <w:bCs w:val="false"/>
                <w:szCs w:val="20"/>
              </w:rPr>
              <w:t>Und</w:t>
            </w:r>
          </w:p>
        </w:tc>
        <w:tc>
          <w:tcPr>
            <w:tcW w:w="695"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uppressAutoHyphens w:val="true"/>
              <w:bidi w:val="0"/>
              <w:spacing w:lineRule="auto" w:line="276" w:before="0" w:after="0"/>
              <w:ind w:left="0" w:right="0" w:hanging="0"/>
              <w:jc w:val="center"/>
              <w:rPr>
                <w:rFonts w:ascii="Times New Roman" w:hAnsi="Times New Roman"/>
                <w:szCs w:val="20"/>
              </w:rPr>
            </w:pPr>
            <w:r>
              <w:rPr>
                <w:rStyle w:val="Nfaseforte"/>
                <w:rFonts w:eastAsia="Calibri" w:cs="Times New Roman" w:ascii="Times New Roman" w:hAnsi="Times New Roman"/>
                <w:b w:val="false"/>
                <w:bCs w:val="false"/>
                <w:szCs w:val="20"/>
              </w:rPr>
              <w:t>07</w:t>
            </w:r>
          </w:p>
        </w:tc>
        <w:tc>
          <w:tcPr>
            <w:tcW w:w="1531"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pPr>
            <w:r>
              <w:rPr>
                <w:rStyle w:val="Nfaseforte"/>
                <w:rFonts w:cs="Times New Roman" w:ascii="Times New Roman" w:hAnsi="Times New Roman"/>
                <w:b w:val="false"/>
                <w:bCs w:val="false"/>
                <w:szCs w:val="20"/>
              </w:rPr>
              <w:t xml:space="preserve">R$ </w:t>
            </w:r>
            <w:r>
              <w:rPr>
                <w:rStyle w:val="Nfaseforte"/>
                <w:rFonts w:cs="Times New Roman" w:ascii="Times New Roman" w:hAnsi="Times New Roman"/>
                <w:b w:val="false"/>
                <w:bCs w:val="false"/>
                <w:szCs w:val="20"/>
              </w:rPr>
              <w:t>755,00</w:t>
            </w:r>
          </w:p>
        </w:tc>
        <w:tc>
          <w:tcPr>
            <w:tcW w:w="1354"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spacing w:before="0" w:after="160"/>
              <w:jc w:val="center"/>
              <w:rPr/>
            </w:pPr>
            <w:r>
              <w:rPr>
                <w:rStyle w:val="Nfaseforte"/>
                <w:rFonts w:cs="Times New Roman" w:ascii="Times New Roman" w:hAnsi="Times New Roman"/>
                <w:b w:val="false"/>
                <w:bCs w:val="false"/>
                <w:szCs w:val="20"/>
              </w:rPr>
              <w:t xml:space="preserve">R$ </w:t>
            </w:r>
            <w:r>
              <w:rPr>
                <w:rStyle w:val="Nfaseforte"/>
                <w:rFonts w:cs="Times New Roman" w:ascii="Times New Roman" w:hAnsi="Times New Roman"/>
                <w:b w:val="false"/>
                <w:bCs w:val="false"/>
                <w:szCs w:val="20"/>
              </w:rPr>
              <w:t>5.285,00</w:t>
            </w:r>
          </w:p>
        </w:tc>
      </w:tr>
    </w:tbl>
    <w:p>
      <w:pPr>
        <w:pStyle w:val="PADRO"/>
        <w:widowControl/>
        <w:numPr>
          <w:ilvl w:val="1"/>
          <w:numId w:val="1"/>
        </w:numPr>
        <w:spacing w:before="120" w:after="120"/>
        <w:rPr>
          <w:color w:val="000000"/>
        </w:rPr>
      </w:pPr>
      <w:r>
        <w:rPr>
          <w:rFonts w:cs="Arial" w:ascii="Arial" w:hAnsi="Arial"/>
          <w:color w:val="000000"/>
          <w:szCs w:val="20"/>
        </w:rPr>
        <w:t xml:space="preserve">O critério de julgamento adotado será o </w:t>
      </w:r>
      <w:r>
        <w:rPr>
          <w:rFonts w:cs="Arial" w:ascii="Arial" w:hAnsi="Arial"/>
          <w:iCs/>
          <w:color w:val="000000"/>
          <w:szCs w:val="20"/>
        </w:rPr>
        <w:t xml:space="preserve">menor preço, </w:t>
      </w:r>
      <w:r>
        <w:rPr>
          <w:rFonts w:cs="Arial" w:ascii="Arial" w:hAnsi="Arial"/>
          <w:color w:val="000000"/>
          <w:szCs w:val="20"/>
        </w:rPr>
        <w:t>observadas as exigências contidas neste Aviso de Contratação Direta e seus Anexos quanto às especificações do objeto.</w:t>
      </w:r>
    </w:p>
    <w:p>
      <w:pPr>
        <w:pStyle w:val="PADRO"/>
        <w:widowControl/>
        <w:numPr>
          <w:ilvl w:val="0"/>
          <w:numId w:val="1"/>
        </w:numPr>
        <w:spacing w:before="120" w:after="120"/>
        <w:rPr>
          <w:rFonts w:ascii="Arial" w:hAnsi="Arial" w:cs="Arial"/>
          <w:b/>
          <w:b/>
        </w:rPr>
      </w:pPr>
      <w:r>
        <w:rPr>
          <w:rFonts w:cs="Arial" w:ascii="Arial" w:hAnsi="Arial"/>
          <w:b/>
          <w:color w:val="000000"/>
        </w:rPr>
        <w:t>PARTICIPAÇÃO NA DISPENSA ELETRÔNICA.</w:t>
      </w:r>
    </w:p>
    <w:p>
      <w:pPr>
        <w:pStyle w:val="Normal"/>
        <w:snapToGrid w:val="false"/>
        <w:spacing w:lineRule="auto" w:line="276" w:before="120" w:after="120"/>
        <w:ind w:left="425" w:hanging="0"/>
        <w:jc w:val="both"/>
        <w:rPr>
          <w:color w:val="000000"/>
        </w:rPr>
      </w:pPr>
      <w:r>
        <w:rPr>
          <w:rFonts w:cs="Arial"/>
          <w:color w:val="000000"/>
          <w:szCs w:val="20"/>
        </w:rPr>
        <w:t xml:space="preserve">2.1. A participação na presente dispensa eletrônica se dará mediante </w:t>
      </w:r>
      <w:r>
        <w:rPr>
          <w:rFonts w:cs="Arial"/>
          <w:bCs/>
          <w:color w:val="000000"/>
          <w:szCs w:val="20"/>
        </w:rPr>
        <w:t xml:space="preserve">Sistema de Dispensa Eletrônica </w:t>
      </w:r>
      <w:r>
        <w:rPr>
          <w:rFonts w:cs="Arial"/>
          <w:color w:val="000000"/>
          <w:szCs w:val="20"/>
        </w:rPr>
        <w:t xml:space="preserve">integrante do Sistema de Compras do Governo Federal – Comprasnet 4.0, disponível no </w:t>
      </w:r>
      <w:r>
        <w:rPr>
          <w:rFonts w:cs="Arial"/>
          <w:bCs/>
          <w:color w:val="000000"/>
          <w:szCs w:val="20"/>
        </w:rPr>
        <w:t xml:space="preserve">endereço eletrônico do </w:t>
      </w:r>
      <w:r>
        <w:rPr>
          <w:color w:val="000000"/>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color w:val="000000"/>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poderão participar desta dispensa os fornecedores: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se enquadrem nas seguintes vedações:</w:t>
      </w:r>
    </w:p>
    <w:p>
      <w:pPr>
        <w:pStyle w:val="Normal"/>
        <w:numPr>
          <w:ilvl w:val="3"/>
          <w:numId w:val="2"/>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2"/>
        </w:numPr>
        <w:spacing w:lineRule="auto" w:line="276" w:before="120" w:after="120"/>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2"/>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2"/>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2"/>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color w:val="000000"/>
            <w:szCs w:val="20"/>
          </w:rPr>
          <w:t>Lei nº 6.404, de 15 de dezembro de 1976</w:t>
        </w:r>
      </w:hyperlink>
      <w:r>
        <w:rPr>
          <w:rFonts w:cs="Arial"/>
          <w:color w:val="000000"/>
          <w:szCs w:val="20"/>
        </w:rPr>
        <w:t>, concorrendo entre si;</w:t>
      </w:r>
    </w:p>
    <w:p>
      <w:pPr>
        <w:pStyle w:val="Normal"/>
        <w:numPr>
          <w:ilvl w:val="3"/>
          <w:numId w:val="2"/>
        </w:numPr>
        <w:spacing w:lineRule="auto" w:line="276" w:before="120" w:after="120"/>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color w:val="000000"/>
        </w:rPr>
      </w:pPr>
      <w:r>
        <w:rPr>
          <w:rFonts w:cs="Arial"/>
          <w:color w:val="000000"/>
          <w:szCs w:val="20"/>
        </w:rPr>
        <w:t xml:space="preserve"> </w:t>
      </w:r>
      <w:r>
        <w:rPr>
          <w:rFonts w:cs="Arial"/>
          <w:color w:val="000000"/>
          <w:szCs w:val="20"/>
        </w:rPr>
        <w:t>sociedades cooperativas</w:t>
      </w:r>
      <w:bookmarkStart w:id="1" w:name="_Hlk519667815"/>
      <w:bookmarkEnd w:id="1"/>
      <w:r>
        <w:rPr>
          <w:rFonts w:cs="Arial"/>
          <w:i/>
          <w:color w:val="000000"/>
          <w:szCs w:val="20"/>
        </w:rPr>
        <w:t>.</w:t>
      </w:r>
    </w:p>
    <w:p>
      <w:pPr>
        <w:pStyle w:val="Normal"/>
        <w:numPr>
          <w:ilvl w:val="0"/>
          <w:numId w:val="0"/>
        </w:numPr>
        <w:spacing w:lineRule="auto" w:line="276" w:before="120" w:after="120"/>
        <w:ind w:left="1440" w:hanging="0"/>
        <w:jc w:val="both"/>
        <w:rPr>
          <w:color w:val="000000"/>
        </w:rPr>
      </w:pPr>
      <w:r>
        <w:rPr>
          <w:color w:val="000000"/>
        </w:rPr>
      </w:r>
    </w:p>
    <w:p>
      <w:pPr>
        <w:pStyle w:val="PADRO"/>
        <w:widowControl/>
        <w:numPr>
          <w:ilvl w:val="0"/>
          <w:numId w:val="1"/>
        </w:numPr>
        <w:spacing w:before="120" w:after="120"/>
        <w:rPr>
          <w:rFonts w:ascii="Arial" w:hAnsi="Arial" w:cs="Arial"/>
          <w:b/>
          <w:b/>
        </w:rPr>
      </w:pPr>
      <w:r>
        <w:rPr>
          <w:rFonts w:cs="Arial" w:ascii="Arial" w:hAnsi="Arial"/>
          <w:b/>
          <w:color w:val="000000"/>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color w:val="000000"/>
          <w:szCs w:val="20"/>
        </w:rPr>
      </w:pPr>
      <w:r>
        <w:rPr>
          <w:rFonts w:cs="Arial"/>
          <w:color w:val="000000"/>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color w:val="000000"/>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color w:val="000000"/>
        </w:rPr>
      </w:pPr>
      <w:r>
        <w:rPr>
          <w:rFonts w:cs="Arial"/>
          <w:color w:val="000000"/>
          <w:szCs w:val="20"/>
        </w:rPr>
        <w:t>Todas as especificações do objeto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color w:val="000000"/>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color w:val="00000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color w:val="000000"/>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color w:val="000000"/>
        </w:rPr>
      </w:pPr>
      <w:r>
        <w:rPr>
          <w:rFonts w:cs="Arial"/>
          <w:color w:val="000000"/>
          <w:szCs w:val="20"/>
        </w:rPr>
        <w:t xml:space="preserve">A apresentação das propostas implica obrigatoriedade do cumprimento das disposições nelas contidas, em conformidade com o que dispõe o </w:t>
      </w:r>
      <w:r>
        <w:rPr>
          <w:rFonts w:cs="Arial"/>
          <w:b/>
          <w:color w:val="000000"/>
          <w:szCs w:val="20"/>
        </w:rPr>
        <w:t>Termo de Referência</w:t>
      </w:r>
      <w:r>
        <w:rPr>
          <w:rFonts w:cs="Arial"/>
          <w:i/>
          <w:color w:val="000000"/>
          <w:szCs w:val="20"/>
        </w:rPr>
        <w:t xml:space="preserve">, </w:t>
      </w:r>
      <w:r>
        <w:rPr>
          <w:rFonts w:cs="Arial"/>
          <w:color w:val="000000"/>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color w:val="000000"/>
        </w:rPr>
      </w:pPr>
      <w:r>
        <w:rPr>
          <w:rFonts w:cs="Arial"/>
          <w:color w:val="000000"/>
          <w:szCs w:val="20"/>
        </w:rPr>
        <w:t xml:space="preserve">Uma vez enviada a proposta no sistema, os fornecedores </w:t>
      </w:r>
      <w:r>
        <w:rPr>
          <w:rFonts w:cs="Arial"/>
          <w:b/>
          <w:bCs/>
          <w:color w:val="000000"/>
          <w:szCs w:val="20"/>
        </w:rPr>
        <w:t xml:space="preserve">NÃO </w:t>
      </w:r>
      <w:r>
        <w:rPr>
          <w:rFonts w:cs="Arial"/>
          <w:color w:val="000000"/>
          <w:szCs w:val="20"/>
        </w:rPr>
        <w:t>poderão retirá-la, substituí-la ou modificá-la;</w:t>
      </w:r>
    </w:p>
    <w:p>
      <w:pPr>
        <w:pStyle w:val="Normal"/>
        <w:numPr>
          <w:ilvl w:val="1"/>
          <w:numId w:val="1"/>
        </w:numPr>
        <w:spacing w:lineRule="auto" w:line="276" w:before="120" w:after="120"/>
        <w:ind w:left="425" w:hanging="0"/>
        <w:jc w:val="both"/>
        <w:rPr>
          <w:color w:val="000000"/>
        </w:rPr>
      </w:pPr>
      <w:r>
        <w:rPr>
          <w:rFonts w:cs="Arial"/>
          <w:color w:val="000000"/>
          <w:szCs w:val="20"/>
        </w:rPr>
        <w:t>No cadastramento da proposta inicial, o fornecedor deverá, também,assinalar “sim” ou “não” em campo próprio do sistema eletrônico, às seguintes declarações:</w:t>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szCs w:val="20"/>
        </w:rPr>
      </w:pPr>
      <w:r>
        <w:rPr>
          <w:rFonts w:cs="Arial"/>
          <w:color w:val="000000"/>
          <w:szCs w:val="20"/>
        </w:rPr>
        <w:t>que cumpre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szCs w:val="20"/>
        </w:rPr>
      </w:pPr>
      <w:r>
        <w:rPr>
          <w:rFonts w:cs="Arial"/>
          <w:color w:val="000000"/>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szCs w:val="20"/>
        </w:rPr>
      </w:pPr>
      <w:r>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pPr>
        <w:pStyle w:val="PADRO"/>
        <w:widowControl/>
        <w:numPr>
          <w:ilvl w:val="0"/>
          <w:numId w:val="1"/>
        </w:numPr>
        <w:spacing w:before="120" w:after="120"/>
        <w:rPr>
          <w:rFonts w:ascii="Arial" w:hAnsi="Arial" w:cs="Arial"/>
          <w:b/>
          <w:b/>
        </w:rPr>
      </w:pPr>
      <w:r>
        <w:rPr>
          <w:rFonts w:cs="Arial" w:ascii="Arial" w:hAnsi="Arial"/>
          <w:b/>
          <w:color w:val="000000"/>
        </w:rPr>
        <w:t>FASE DE LANCES</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 xml:space="preserve">A partir das 8:00h da data estabelecida neste Aviso de Contratação Direta, a sessão pública será automaticamente aberta pelo sistema para o envio de lances públicos e sucessivos, </w:t>
      </w:r>
      <w:r>
        <w:rPr>
          <w:rFonts w:cs="Arial"/>
          <w:bCs/>
          <w:color w:val="000000"/>
          <w:szCs w:val="20"/>
          <w:lang w:eastAsia="en-US"/>
        </w:rPr>
        <w:t>exclusivamente por meio do sistema eletrônico</w:t>
      </w:r>
      <w:r>
        <w:rPr>
          <w:rFonts w:cs="Arial"/>
          <w:color w:val="000000"/>
          <w:szCs w:val="20"/>
          <w:lang w:eastAsia="en-US"/>
        </w:rPr>
        <w:t>, 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iCs/>
          <w:color w:val="000000"/>
          <w:szCs w:val="20"/>
        </w:rPr>
      </w:pPr>
      <w:r>
        <w:rPr>
          <w:rFonts w:cs="Arial"/>
          <w:iCs/>
          <w:color w:val="000000"/>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szCs w:val="20"/>
        </w:rPr>
      </w:pPr>
      <w:r>
        <w:rPr>
          <w:rFonts w:cs="Arial"/>
          <w:color w:val="000000"/>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PADRO"/>
        <w:widowControl/>
        <w:numPr>
          <w:ilvl w:val="0"/>
          <w:numId w:val="1"/>
        </w:numPr>
        <w:spacing w:before="120" w:after="120"/>
        <w:rPr>
          <w:rFonts w:ascii="Arial" w:hAnsi="Arial" w:cs="Arial"/>
          <w:b/>
          <w:b/>
        </w:rPr>
      </w:pPr>
      <w:r>
        <w:rPr>
          <w:rFonts w:cs="Arial" w:ascii="Arial" w:hAnsi="Arial"/>
          <w:b/>
          <w:color w:val="000000"/>
        </w:rPr>
        <w:t>JULGAMENTO DAS PROPOSTAS DE PREÇO</w:t>
      </w:r>
    </w:p>
    <w:p>
      <w:pPr>
        <w:pStyle w:val="ListParagraph"/>
        <w:numPr>
          <w:ilvl w:val="1"/>
          <w:numId w:val="1"/>
        </w:numPr>
        <w:spacing w:lineRule="auto" w:line="276" w:before="120" w:after="120"/>
        <w:contextualSpacing/>
        <w:jc w:val="both"/>
        <w:rPr>
          <w:rFonts w:cs="Arial"/>
        </w:rPr>
      </w:pPr>
      <w:r>
        <w:rPr>
          <w:rFonts w:cs="Arial"/>
          <w:color w:val="00000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color w:val="00000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color w:val="00000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color w:val="000000"/>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color w:val="000000"/>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color w:val="000000"/>
        </w:rPr>
      </w:pPr>
      <w:r>
        <w:rPr>
          <w:rFonts w:cs="Arial"/>
          <w:color w:val="000000"/>
          <w:szCs w:val="20"/>
        </w:rPr>
        <w:t>O prazo de validade da proposta não será inferior a 60 (sessenta) dias</w:t>
      </w:r>
      <w:r>
        <w:rPr>
          <w:rFonts w:cs="Arial"/>
          <w:b/>
          <w:bCs/>
          <w:color w:val="000000"/>
          <w:szCs w:val="20"/>
        </w:rPr>
        <w:t>,</w:t>
      </w:r>
      <w:r>
        <w:rPr>
          <w:rFonts w:cs="Arial"/>
          <w:color w:val="000000"/>
          <w:szCs w:val="20"/>
        </w:rPr>
        <w:t xml:space="preserve"> a contar da data de sua apresentação.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color w:val="000000"/>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contextualSpacing/>
        <w:jc w:val="both"/>
        <w:rPr>
          <w:color w:val="000000"/>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color w:val="000000"/>
        </w:rPr>
      </w:pPr>
      <w:r>
        <w:rPr>
          <w:rFonts w:cs="Arial"/>
          <w:color w:val="000000"/>
          <w:szCs w:val="20"/>
        </w:rPr>
        <w:t>não tiverem sua exequibilidade demonstrada, quando exigido pela Administração</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Quando</w:t>
      </w:r>
      <w:r>
        <w:rPr>
          <w:rFonts w:cs="Arial"/>
          <w:color w:val="000000"/>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szCs w:val="20"/>
        </w:rPr>
      </w:pPr>
      <w:r>
        <w:rPr>
          <w:rFonts w:cs="Arial"/>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szCs w:val="20"/>
        </w:rPr>
      </w:pPr>
      <w:r>
        <w:rPr>
          <w:rFonts w:cs="Arial"/>
          <w:color w:val="00000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color w:val="000000"/>
        </w:rPr>
      </w:pPr>
      <w:r>
        <w:rPr>
          <w:rFonts w:cs="Arial"/>
          <w:color w:val="000000"/>
          <w:szCs w:val="20"/>
          <w:lang w:eastAsia="en-US"/>
        </w:rPr>
        <w:t xml:space="preserve">Se houver indícios de inexequibilidade da proposta de preço, ou em caso da necessidade de esclarecimentos </w:t>
      </w:r>
      <w:r>
        <w:rPr>
          <w:rFonts w:cs="Arial"/>
          <w:color w:val="000000"/>
          <w:szCs w:val="20"/>
        </w:rPr>
        <w:t>complementares</w:t>
      </w:r>
      <w:r>
        <w:rPr>
          <w:rFonts w:cs="Arial"/>
          <w:color w:val="000000"/>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 xml:space="preserve">Erros no preenchimento da planilha não constituem motivo para a desclassificação da proposta. A planilha </w:t>
      </w:r>
      <w:r>
        <w:rPr>
          <w:rFonts w:cs="Arial"/>
          <w:color w:val="000000"/>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Encerrada a análise quanto à aceitação da proposta, se iniciará a fase de habilitação, observado o disposto neste Aviso de Contratação Direta.</w:t>
      </w:r>
    </w:p>
    <w:p>
      <w:pPr>
        <w:pStyle w:val="PADRO"/>
        <w:widowControl/>
        <w:numPr>
          <w:ilvl w:val="0"/>
          <w:numId w:val="1"/>
        </w:numPr>
        <w:spacing w:before="120" w:after="120"/>
        <w:rPr>
          <w:rFonts w:ascii="Arial" w:hAnsi="Arial" w:cs="Arial"/>
          <w:b/>
          <w:b/>
        </w:rPr>
      </w:pPr>
      <w:r>
        <w:rPr>
          <w:rFonts w:cs="Arial" w:ascii="Arial" w:hAnsi="Arial"/>
          <w:b/>
          <w:color w:val="000000"/>
        </w:rPr>
        <w:t>HABILITAÇÃO</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lang w:eastAsia="ar-SA"/>
        </w:rPr>
        <w:t xml:space="preserve">Os </w:t>
      </w:r>
      <w:r>
        <w:rPr>
          <w:rFonts w:cs="Arial"/>
          <w:color w:val="000000"/>
          <w:szCs w:val="20"/>
        </w:rPr>
        <w:t>documentos</w:t>
      </w:r>
      <w:r>
        <w:rPr>
          <w:rFonts w:cs="Arial"/>
          <w:color w:val="000000"/>
          <w:szCs w:val="20"/>
          <w:lang w:eastAsia="ar-SA"/>
        </w:rPr>
        <w:t xml:space="preserve"> a serem exigidos para fins de habilitação constam do </w:t>
      </w:r>
      <w:r>
        <w:rPr>
          <w:rFonts w:cs="Arial"/>
          <w:b/>
          <w:color w:val="000000"/>
          <w:szCs w:val="20"/>
          <w:lang w:eastAsia="ar-SA"/>
        </w:rPr>
        <w:t xml:space="preserve">ANEXO I – DOCUMENTAÇÃO EXIGIDA PARA HABILITAÇÃO </w:t>
      </w:r>
      <w:r>
        <w:rPr>
          <w:rFonts w:cs="Arial"/>
          <w:color w:val="000000"/>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lang w:eastAsia="ar-SA"/>
        </w:rPr>
        <w:t xml:space="preserve">Como </w:t>
      </w:r>
      <w:r>
        <w:rPr>
          <w:rFonts w:cs="Arial"/>
          <w:color w:val="000000"/>
          <w:szCs w:val="20"/>
        </w:rPr>
        <w:t>condição</w:t>
      </w:r>
      <w:r>
        <w:rPr>
          <w:rFonts w:cs="Arial"/>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color w:val="000000"/>
          <w:szCs w:val="20"/>
          <w:lang w:eastAsia="ar-SA"/>
        </w:rPr>
        <w:t xml:space="preserve">a) SICAF;  </w:t>
      </w:r>
    </w:p>
    <w:p>
      <w:pPr>
        <w:pStyle w:val="ListParagraph"/>
        <w:spacing w:lineRule="auto" w:line="276" w:before="120" w:after="120"/>
        <w:ind w:left="1134" w:hanging="0"/>
        <w:contextualSpacing/>
        <w:jc w:val="both"/>
        <w:rPr/>
      </w:pPr>
      <w:r>
        <w:rPr>
          <w:rFonts w:cs="Arial"/>
          <w:color w:val="000000"/>
          <w:szCs w:val="20"/>
          <w:lang w:eastAsia="ar-SA"/>
        </w:rPr>
        <w:t>b) Cadastro Nacional de Empresas Inidôneas e Suspensas - CEIS, mantido pela Controladoria-Geral da União (</w:t>
      </w:r>
      <w:hyperlink r:id="rId4">
        <w:r>
          <w:rPr>
            <w:rStyle w:val="LinkdaInternet"/>
            <w:rFonts w:eastAsia="Calibri" w:cs="Arial"/>
            <w:color w:val="000000"/>
            <w:lang w:eastAsia="ar-SA"/>
          </w:rPr>
          <w:t>www.portaldatransparencia.gov.br/ceis</w:t>
        </w:r>
      </w:hyperlink>
      <w:r>
        <w:rPr>
          <w:rFonts w:cs="Arial"/>
          <w:color w:val="000000"/>
          <w:szCs w:val="20"/>
          <w:lang w:eastAsia="ar-SA"/>
        </w:rPr>
        <w:t xml:space="preserve">);  </w:t>
      </w:r>
    </w:p>
    <w:p>
      <w:pPr>
        <w:pStyle w:val="ListParagraph"/>
        <w:spacing w:lineRule="auto" w:line="276" w:before="120" w:after="120"/>
        <w:ind w:left="1134" w:hanging="0"/>
        <w:contextualSpacing/>
        <w:jc w:val="both"/>
        <w:rPr/>
      </w:pPr>
      <w:r>
        <w:rPr>
          <w:rFonts w:cs="Arial"/>
          <w:color w:val="000000"/>
          <w:szCs w:val="20"/>
          <w:lang w:eastAsia="ar-SA"/>
        </w:rPr>
        <w:t>c) Cadastro Nacional de Condenações Cíveis por Atos de Improbidade Administrativa, mantido pelo Conselho Nacional de Justiça (</w:t>
      </w:r>
      <w:hyperlink r:id="rId5">
        <w:r>
          <w:rPr>
            <w:rStyle w:val="LinkdaInternet"/>
            <w:rFonts w:eastAsia="Calibri" w:cs="Arial"/>
            <w:color w:val="000000"/>
            <w:lang w:eastAsia="ar-SA"/>
          </w:rPr>
          <w:t>www.cnj.jus.br/improbidade_adm/consultar_requerido.php</w:t>
        </w:r>
      </w:hyperlink>
      <w:r>
        <w:rPr>
          <w:rFonts w:cs="Arial"/>
          <w:color w:val="000000"/>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color w:val="000000"/>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color w:val="000000"/>
        </w:rPr>
      </w:pPr>
      <w:r>
        <w:rPr>
          <w:rFonts w:cs="Arial"/>
          <w:color w:val="000000"/>
          <w:szCs w:val="20"/>
          <w:lang w:eastAsia="ar-SA"/>
        </w:rPr>
        <w:t xml:space="preserve">Para a consulta de </w:t>
      </w:r>
      <w:r>
        <w:rPr>
          <w:rFonts w:cs="Arial"/>
          <w:color w:val="000000"/>
          <w:szCs w:val="20"/>
        </w:rPr>
        <w:t>fornecedores</w:t>
      </w:r>
      <w:r>
        <w:rPr>
          <w:rFonts w:cs="Arial"/>
          <w:color w:val="000000"/>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color w:val="000000"/>
        </w:rPr>
      </w:pPr>
      <w:r>
        <w:rPr>
          <w:rFonts w:cs="Arial"/>
          <w:color w:val="000000"/>
          <w:szCs w:val="20"/>
        </w:rPr>
        <w:t xml:space="preserve">A consulta aos </w:t>
      </w:r>
      <w:r>
        <w:rPr>
          <w:rFonts w:cs="Arial"/>
          <w:color w:val="000000"/>
          <w:szCs w:val="20"/>
          <w:lang w:eastAsia="ar-SA"/>
        </w:rPr>
        <w:t>cadastros</w:t>
      </w:r>
      <w:r>
        <w:rPr>
          <w:rFonts w:cs="Arial"/>
          <w:color w:val="00000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Cs/>
          <w:szCs w:val="20"/>
        </w:rPr>
      </w:pPr>
      <w:r>
        <w:rPr>
          <w:rFonts w:cs="Arial"/>
          <w:bCs/>
          <w:color w:val="00000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color w:val="000000"/>
        </w:rPr>
      </w:pPr>
      <w:r>
        <w:rPr>
          <w:rFonts w:cs="Arial"/>
          <w:bCs/>
          <w:color w:val="000000"/>
          <w:szCs w:val="20"/>
        </w:rPr>
        <w:t xml:space="preserve">Havendo </w:t>
      </w:r>
      <w:r>
        <w:rPr>
          <w:rFonts w:cs="Arial"/>
          <w:iCs/>
          <w:color w:val="000000"/>
          <w:lang w:eastAsia="en-US"/>
        </w:rPr>
        <w:t>necessidade</w:t>
      </w:r>
      <w:r>
        <w:rPr>
          <w:rFonts w:cs="Arial"/>
          <w:bCs/>
          <w:color w:val="00000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rPr>
        <w:t xml:space="preserve">Será inabilitado o fornecedor que não comprovar sua habilitação, seja por não apresentar </w:t>
      </w:r>
      <w:r>
        <w:rPr>
          <w:rFonts w:cs="Arial"/>
          <w:iCs/>
          <w:color w:val="000000"/>
          <w:lang w:eastAsia="en-US"/>
        </w:rPr>
        <w:t>quaisquer</w:t>
      </w:r>
      <w:r>
        <w:rPr>
          <w:rFonts w:cs="Arial"/>
          <w:color w:val="000000"/>
          <w:szCs w:val="20"/>
        </w:rPr>
        <w:t xml:space="preserve"> dos </w:t>
      </w:r>
      <w:r>
        <w:rPr>
          <w:rFonts w:cs="Arial"/>
          <w:bCs/>
          <w:color w:val="000000"/>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color w:val="000000"/>
          <w:lang w:eastAsia="en-US"/>
        </w:rPr>
        <w:t>Constatado o atendimento às exigências de habilitação, o fornecedor será habilitado</w:t>
      </w:r>
    </w:p>
    <w:p>
      <w:pPr>
        <w:pStyle w:val="PADRO"/>
        <w:widowControl/>
        <w:numPr>
          <w:ilvl w:val="0"/>
          <w:numId w:val="1"/>
        </w:numPr>
        <w:spacing w:before="120" w:after="120"/>
        <w:rPr>
          <w:rFonts w:ascii="Arial" w:hAnsi="Arial" w:cs="Arial"/>
          <w:b/>
          <w:b/>
        </w:rPr>
      </w:pPr>
      <w:r>
        <w:rPr>
          <w:rFonts w:cs="Arial" w:ascii="Arial" w:hAnsi="Arial"/>
          <w:b/>
          <w:color w:val="000000"/>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color w:val="00000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color w:val="000000"/>
        </w:rPr>
        <w:t>1 (uma) vez</w:t>
      </w:r>
      <w:r>
        <w:rPr>
          <w:rFonts w:eastAsia="Arial" w:cs="Arial"/>
          <w:color w:val="000000"/>
          <w:szCs w:val="20"/>
        </w:rPr>
        <w:t>, 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até 31 de dezembro de 2023, prorrogável conforme previsão nos anexos a este Aviso de Contratação Direta.</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widowControl/>
        <w:numPr>
          <w:ilvl w:val="0"/>
          <w:numId w:val="1"/>
        </w:numPr>
        <w:spacing w:before="120" w:after="120"/>
        <w:rPr>
          <w:rFonts w:ascii="Arial" w:hAnsi="Arial" w:cs="Arial"/>
          <w:b/>
          <w:b/>
        </w:rPr>
      </w:pPr>
      <w:r>
        <w:rPr>
          <w:rFonts w:cs="Arial" w:ascii="Arial" w:hAnsi="Arial"/>
          <w:b/>
          <w:color w:val="000000"/>
        </w:rPr>
        <w:t>SANÇÕES</w:t>
      </w:r>
    </w:p>
    <w:p>
      <w:pPr>
        <w:pStyle w:val="Normal"/>
        <w:numPr>
          <w:ilvl w:val="1"/>
          <w:numId w:val="1"/>
        </w:numPr>
        <w:spacing w:lineRule="auto" w:line="276" w:before="120" w:after="120"/>
        <w:ind w:left="425" w:hanging="0"/>
        <w:jc w:val="both"/>
        <w:rPr>
          <w:rFonts w:cs="Arial"/>
        </w:rPr>
      </w:pPr>
      <w:r>
        <w:rPr>
          <w:rFonts w:cs="Arial"/>
          <w:color w:val="00000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color w:val="000000"/>
        </w:rPr>
      </w:pPr>
      <w:r>
        <w:rPr>
          <w:rFonts w:cs="Arial"/>
          <w:color w:val="000000"/>
          <w:szCs w:val="20"/>
        </w:rPr>
        <w:t>dar causa à inexecução parcial do contrato</w:t>
      </w:r>
      <w:r>
        <w:rPr>
          <w:rFonts w:cs="Arial"/>
          <w:color w:val="000000"/>
        </w:rPr>
        <w:t>;</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color w:val="000000"/>
          <w:szCs w:val="20"/>
        </w:rPr>
      </w:pP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 xml:space="preserve">praticar ato lesivo previsto no </w:t>
      </w:r>
      <w:r>
        <w:fldChar w:fldCharType="begin"/>
      </w:r>
      <w:r>
        <w:rPr>
          <w:rStyle w:val="LinkdaInternet"/>
          <w:color w:val="000000"/>
        </w:rPr>
        <w:instrText xml:space="preserve"> HYPERLINK "http://www.planalto.gov.br/ccivil_03/_Ato2011-2014/2013/Lei/L12846.htm" \l "art5"</w:instrText>
      </w:r>
      <w:r>
        <w:rPr>
          <w:rStyle w:val="LinkdaInternet"/>
          <w:color w:val="000000"/>
        </w:rPr>
        <w:fldChar w:fldCharType="separate"/>
      </w:r>
      <w:r>
        <w:rPr>
          <w:rStyle w:val="LinkdaInternet"/>
          <w:color w:val="000000"/>
        </w:rPr>
        <w:t>art. 5º da Lei nº 12.846, de 1º de agosto de 2013.</w:t>
      </w:r>
      <w:r>
        <w:rPr>
          <w:rStyle w:val="LinkdaInternet"/>
          <w:color w:val="000000"/>
        </w:rPr>
        <w:fldChar w:fldCharType="end"/>
      </w:r>
    </w:p>
    <w:p>
      <w:pPr>
        <w:pStyle w:val="Normal"/>
        <w:numPr>
          <w:ilvl w:val="1"/>
          <w:numId w:val="1"/>
        </w:numPr>
        <w:spacing w:lineRule="auto" w:line="276" w:before="120" w:after="120"/>
        <w:ind w:left="425" w:hanging="0"/>
        <w:jc w:val="both"/>
        <w:rPr>
          <w:rFonts w:cs="Arial"/>
        </w:rPr>
      </w:pPr>
      <w:r>
        <w:rPr>
          <w:rFonts w:cs="Arial"/>
          <w:color w:val="00000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cs="Arial"/>
        </w:rPr>
      </w:pPr>
      <w:r>
        <w:rPr>
          <w:rFonts w:cs="Arial"/>
          <w:color w:val="000000"/>
        </w:rPr>
        <w:t>Advertência pela falta do subitem 8.1.1 deste Aviso de Contratação Direta,quando não se justificar a imposição de penalidade mais grave;</w:t>
      </w:r>
    </w:p>
    <w:p>
      <w:pPr>
        <w:pStyle w:val="Normal"/>
        <w:numPr>
          <w:ilvl w:val="2"/>
          <w:numId w:val="3"/>
        </w:numPr>
        <w:spacing w:lineRule="auto" w:line="276" w:before="120" w:after="120"/>
        <w:jc w:val="both"/>
        <w:rPr>
          <w:color w:val="000000"/>
        </w:rPr>
      </w:pPr>
      <w:r>
        <w:rPr>
          <w:rFonts w:cs="Arial"/>
          <w:color w:val="000000"/>
        </w:rPr>
        <w:t>Multa de 20% (vinte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color w:val="000000"/>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color w:val="000000"/>
        </w:rPr>
        <w:t>;</w:t>
      </w:r>
    </w:p>
    <w:p>
      <w:pPr>
        <w:pStyle w:val="Normal"/>
        <w:numPr>
          <w:ilvl w:val="2"/>
          <w:numId w:val="3"/>
        </w:numPr>
        <w:spacing w:lineRule="auto" w:line="276" w:before="120" w:after="120"/>
        <w:jc w:val="both"/>
        <w:rPr>
          <w:color w:val="000000"/>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color w:val="000000"/>
        </w:rPr>
        <w:t>;</w:t>
      </w:r>
    </w:p>
    <w:p>
      <w:pPr>
        <w:pStyle w:val="Normal"/>
        <w:numPr>
          <w:ilvl w:val="1"/>
          <w:numId w:val="1"/>
        </w:numPr>
        <w:spacing w:lineRule="auto" w:line="276" w:before="120" w:after="120"/>
        <w:jc w:val="both"/>
        <w:rPr>
          <w:rFonts w:cs="Arial"/>
          <w:bCs/>
        </w:rPr>
      </w:pPr>
      <w:r>
        <w:rPr>
          <w:rFonts w:cs="Arial"/>
          <w:bCs/>
          <w:color w:val="000000"/>
        </w:rPr>
        <w:t>Na aplicação das sanções serão considerados:</w:t>
      </w:r>
    </w:p>
    <w:p>
      <w:pPr>
        <w:pStyle w:val="Normal"/>
        <w:numPr>
          <w:ilvl w:val="2"/>
          <w:numId w:val="1"/>
        </w:numPr>
        <w:spacing w:lineRule="auto" w:line="276" w:before="120" w:after="120"/>
        <w:jc w:val="both"/>
        <w:rPr>
          <w:rFonts w:cs="Arial"/>
          <w:bCs/>
        </w:rPr>
      </w:pPr>
      <w:r>
        <w:rPr>
          <w:rFonts w:cs="Arial"/>
          <w:bCs/>
          <w:color w:val="000000"/>
        </w:rPr>
        <w:t>a natureza e a gravidade da infração cometida;</w:t>
      </w:r>
    </w:p>
    <w:p>
      <w:pPr>
        <w:pStyle w:val="Normal"/>
        <w:numPr>
          <w:ilvl w:val="2"/>
          <w:numId w:val="1"/>
        </w:numPr>
        <w:spacing w:lineRule="auto" w:line="276" w:before="120" w:after="120"/>
        <w:jc w:val="both"/>
        <w:rPr>
          <w:rFonts w:cs="Arial"/>
          <w:bCs/>
        </w:rPr>
      </w:pPr>
      <w:r>
        <w:rPr>
          <w:rFonts w:cs="Arial"/>
          <w:bCs/>
          <w:color w:val="000000"/>
        </w:rPr>
        <w:t>as peculiaridades do caso concreto;</w:t>
      </w:r>
    </w:p>
    <w:p>
      <w:pPr>
        <w:pStyle w:val="Normal"/>
        <w:numPr>
          <w:ilvl w:val="2"/>
          <w:numId w:val="1"/>
        </w:numPr>
        <w:spacing w:lineRule="auto" w:line="276" w:before="120" w:after="120"/>
        <w:jc w:val="both"/>
        <w:rPr>
          <w:rFonts w:cs="Arial"/>
          <w:bCs/>
        </w:rPr>
      </w:pPr>
      <w:r>
        <w:rPr>
          <w:rFonts w:cs="Arial"/>
          <w:bCs/>
          <w:color w:val="000000"/>
        </w:rPr>
        <w:t>as circunstâncias agravantes ou atenuantes;</w:t>
      </w:r>
    </w:p>
    <w:p>
      <w:pPr>
        <w:pStyle w:val="Normal"/>
        <w:numPr>
          <w:ilvl w:val="2"/>
          <w:numId w:val="1"/>
        </w:numPr>
        <w:spacing w:lineRule="auto" w:line="276" w:before="120" w:after="120"/>
        <w:jc w:val="both"/>
        <w:rPr>
          <w:rFonts w:cs="Arial"/>
          <w:bCs/>
        </w:rPr>
      </w:pPr>
      <w:r>
        <w:rPr>
          <w:rFonts w:cs="Arial"/>
          <w:bCs/>
          <w:color w:val="000000"/>
        </w:rPr>
        <w:t>os danos que dela provierem para a Administração Pública;</w:t>
      </w:r>
    </w:p>
    <w:p>
      <w:pPr>
        <w:pStyle w:val="Normal"/>
        <w:numPr>
          <w:ilvl w:val="2"/>
          <w:numId w:val="1"/>
        </w:numPr>
        <w:spacing w:lineRule="auto" w:line="276" w:before="120" w:after="120"/>
        <w:jc w:val="both"/>
        <w:rPr>
          <w:rFonts w:cs="Arial"/>
          <w:bCs/>
        </w:rPr>
      </w:pPr>
      <w:r>
        <w:rPr>
          <w:rFonts w:cs="Arial"/>
          <w:bCs/>
          <w:color w:val="00000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r>
        <w:rPr>
          <w:rFonts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r>
        <w:rPr>
          <w:rFonts w:cs="Arial"/>
          <w:color w:val="000000"/>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color w:val="000000"/>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color w:val="00000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color w:val="000000"/>
        </w:rPr>
        <w:t>As sanções por atos praticados no decorrer da contratação estão previstas nos anexos a este Aviso.</w:t>
      </w:r>
    </w:p>
    <w:p>
      <w:pPr>
        <w:pStyle w:val="Normal"/>
        <w:numPr>
          <w:ilvl w:val="0"/>
          <w:numId w:val="0"/>
        </w:numPr>
        <w:spacing w:lineRule="auto" w:line="276" w:before="120" w:after="120"/>
        <w:ind w:left="425" w:hanging="0"/>
        <w:jc w:val="both"/>
        <w:rPr>
          <w:rFonts w:cs="Arial"/>
          <w:color w:val="000000"/>
        </w:rPr>
      </w:pPr>
      <w:r>
        <w:rPr>
          <w:rFonts w:cs="Arial"/>
          <w:color w:val="000000"/>
        </w:rPr>
      </w:r>
    </w:p>
    <w:p>
      <w:pPr>
        <w:pStyle w:val="PADRO"/>
        <w:widowControl/>
        <w:numPr>
          <w:ilvl w:val="0"/>
          <w:numId w:val="1"/>
        </w:numPr>
        <w:spacing w:before="120" w:after="120"/>
        <w:rPr>
          <w:rFonts w:ascii="Arial" w:hAnsi="Arial" w:cs="Arial"/>
          <w:b/>
          <w:b/>
        </w:rPr>
      </w:pPr>
      <w:r>
        <w:rPr>
          <w:rFonts w:cs="Arial" w:ascii="Arial" w:hAnsi="Arial"/>
          <w:b/>
          <w:color w:val="000000"/>
        </w:rPr>
        <w:t>DAS DISPOSIÇÕES GERAIS</w:t>
      </w:r>
    </w:p>
    <w:p>
      <w:pPr>
        <w:pStyle w:val="Normal"/>
        <w:numPr>
          <w:ilvl w:val="1"/>
          <w:numId w:val="1"/>
        </w:numPr>
        <w:snapToGrid w:val="false"/>
        <w:spacing w:lineRule="auto" w:line="276" w:before="120" w:after="120"/>
        <w:ind w:left="425" w:hanging="0"/>
        <w:jc w:val="both"/>
        <w:rPr>
          <w:color w:val="000000"/>
        </w:rPr>
      </w:pPr>
      <w:r>
        <w:rPr>
          <w:color w:val="00000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color w:val="000000"/>
        </w:rPr>
      </w:pPr>
      <w:r>
        <w:rPr>
          <w:rFonts w:cs="Arial"/>
          <w:color w:val="000000"/>
          <w:szCs w:val="20"/>
        </w:rPr>
        <w:t>ANEXO II –  Termo de Referência</w:t>
      </w:r>
    </w:p>
    <w:p>
      <w:pPr>
        <w:pStyle w:val="Normal"/>
        <w:spacing w:lineRule="auto" w:line="276" w:before="120" w:after="120"/>
        <w:ind w:left="1440" w:hanging="0"/>
        <w:jc w:val="both"/>
        <w:rPr>
          <w:rFonts w:cs="Arial"/>
          <w:szCs w:val="20"/>
        </w:rPr>
      </w:pPr>
      <w:r>
        <w:rPr>
          <w:rFonts w:cs="Arial"/>
          <w:szCs w:val="20"/>
        </w:rPr>
      </w:r>
    </w:p>
    <w:p>
      <w:pPr>
        <w:pStyle w:val="Normal"/>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t xml:space="preserve">Manaus-AM, </w:t>
      </w:r>
      <w:r>
        <w:rPr>
          <w:rFonts w:cs="Arial"/>
          <w:color w:val="000000"/>
          <w:szCs w:val="20"/>
        </w:rPr>
        <w:t>09</w:t>
      </w:r>
      <w:r>
        <w:rPr>
          <w:rFonts w:cs="Arial"/>
          <w:color w:val="000000"/>
          <w:szCs w:val="20"/>
        </w:rPr>
        <w:t xml:space="preserve"> de </w:t>
      </w:r>
      <w:r>
        <w:rPr>
          <w:rFonts w:cs="Arial"/>
          <w:color w:val="000000"/>
          <w:szCs w:val="20"/>
        </w:rPr>
        <w:t>fevereiro</w:t>
      </w:r>
      <w:r>
        <w:rPr>
          <w:rFonts w:cs="Arial"/>
          <w:color w:val="000000"/>
          <w:szCs w:val="20"/>
        </w:rPr>
        <w:t xml:space="preserve"> de 202</w:t>
      </w:r>
      <w:r>
        <w:rPr>
          <w:rFonts w:cs="Arial"/>
          <w:color w:val="000000"/>
          <w:szCs w:val="20"/>
        </w:rPr>
        <w:t>4</w:t>
      </w:r>
      <w:r>
        <w:rPr>
          <w:rFonts w:cs="Arial"/>
          <w:color w:val="000000"/>
          <w:szCs w:val="20"/>
        </w:rPr>
        <w:t>.</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jc w:val="both"/>
        <w:rPr>
          <w:rFonts w:cs="Arial"/>
          <w:b/>
          <w:b/>
          <w:bCs/>
          <w:iCs/>
          <w:color w:val="000000"/>
          <w:szCs w:val="20"/>
        </w:rPr>
      </w:pPr>
      <w:r>
        <w:rPr>
          <w:rFonts w:cs="Arial"/>
          <w:b/>
          <w:bCs/>
          <w:iCs/>
          <w:color w:val="000000"/>
          <w:szCs w:val="20"/>
        </w:rPr>
        <w:tab/>
        <w:tab/>
      </w:r>
    </w:p>
    <w:p>
      <w:pPr>
        <w:pStyle w:val="Normal"/>
        <w:ind w:left="357" w:right="-7" w:firstLine="567"/>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ADILSON INÁCIO DE OLIVEIRA – Ten Cel</w:t>
      </w:r>
    </w:p>
    <w:p>
      <w:pPr>
        <w:pStyle w:val="Normal"/>
        <w:spacing w:before="43" w:after="0"/>
        <w:ind w:left="357" w:right="-7" w:firstLine="567"/>
        <w:jc w:val="center"/>
        <w:rPr/>
      </w:pPr>
      <w:r>
        <w:rPr>
          <w:rFonts w:cs="Times New Roman" w:ascii="Times New Roman" w:hAnsi="Times New Roman"/>
          <w:color w:val="000000"/>
          <w:sz w:val="22"/>
          <w:szCs w:val="22"/>
          <w:lang w:eastAsia="en-US"/>
        </w:rPr>
        <w:t>Ordenador de Despesas</w:t>
      </w:r>
      <w:r>
        <w:rPr>
          <w:rFonts w:cs="Times New Roman" w:ascii="Times New Roman" w:hAnsi="Times New Roman"/>
          <w:color w:val="000000"/>
          <w:spacing w:val="27"/>
          <w:sz w:val="22"/>
          <w:szCs w:val="22"/>
          <w:lang w:eastAsia="en-US"/>
        </w:rPr>
        <w:t xml:space="preserve"> do</w:t>
      </w:r>
      <w:r>
        <w:rPr>
          <w:rFonts w:cs="Times New Roman" w:ascii="Times New Roman" w:hAnsi="Times New Roman"/>
          <w:color w:val="000000"/>
          <w:sz w:val="22"/>
          <w:szCs w:val="22"/>
          <w:lang w:eastAsia="en-US"/>
        </w:rPr>
        <w:t xml:space="preserve"> 4° BAvEx</w:t>
      </w:r>
    </w:p>
    <w:sectPr>
      <w:footerReference w:type="default" r:id="rId6"/>
      <w:type w:val="nextPage"/>
      <w:pgSz w:w="11906" w:h="16838"/>
      <w:pgMar w:left="720" w:right="720" w:gutter="0" w:header="0" w:top="720" w:footer="777" w:bottom="1577"/>
      <w:pgNumType w:fmt="decimal"/>
      <w:formProt w:val="false"/>
      <w:textDirection w:val="lrTb"/>
      <w:docGrid w:type="default" w:linePitch="240" w:charSpace="983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Mono">
    <w:altName w:val="Courier New"/>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pPr>
    <w:r>
      <w:rPr/>
      <w:t xml:space="preserve">Dispensa de Licitação – Dispensa Eletrônica nº </w:t>
    </w:r>
    <w:r>
      <w:rPr/>
      <w:t>90002</w:t>
    </w:r>
    <w:r>
      <w:rPr/>
      <w:t>/202</w:t>
    </w:r>
    <w:r>
      <w:rPr/>
      <w:t>4</w:t>
    </w:r>
    <w:r>
      <w:rPr/>
      <w:t xml:space="preserve"> – 4° BAvEx</w:t>
    </w:r>
  </w:p>
  <w:p>
    <w:pPr>
      <w:pStyle w:val="Rodap"/>
      <w:jc w:val="right"/>
      <w:rPr/>
    </w:pPr>
    <w:r>
      <w:rPr/>
      <w:t xml:space="preserve">Página </w:t>
    </w:r>
    <w:r>
      <w:rPr/>
      <w:fldChar w:fldCharType="begin"/>
    </w:r>
    <w:r>
      <w:rPr/>
      <w:instrText xml:space="preserve"> PAGE </w:instrText>
    </w:r>
    <w:r>
      <w:rPr/>
      <w:fldChar w:fldCharType="separate"/>
    </w:r>
    <w:r>
      <w:rPr/>
      <w:t>9</w:t>
    </w:r>
    <w:r>
      <w:rPr/>
      <w:fldChar w:fldCharType="end"/>
    </w:r>
    <w:r>
      <w:rPr/>
      <w:t xml:space="preserve"> de </w:t>
    </w:r>
    <w:r>
      <w:rPr/>
      <w:fldChar w:fldCharType="begin"/>
    </w:r>
    <w:r>
      <w:rPr/>
      <w:instrText xml:space="preserve"> NUMPAGES </w:instrText>
    </w:r>
    <w:r>
      <w:rPr/>
      <w:fldChar w:fldCharType="separate"/>
    </w:r>
    <w:r>
      <w:rPr/>
      <w:t>9</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1080"/>
        </w:tabs>
        <w:ind w:left="1080" w:hanging="360"/>
      </w:pPr>
      <w:rPr/>
    </w:lvl>
    <w:lvl w:ilvl="2">
      <w:start w:val="1"/>
      <w:numFmt w:val="decimal"/>
      <w:lvlText w:val="%1.%2.%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qFormat/>
    <w:pPr>
      <w:keepNext w:val="true"/>
      <w:keepLines/>
      <w:spacing w:before="240" w:after="0"/>
      <w:outlineLvl w:val="0"/>
    </w:pPr>
    <w:rPr>
      <w:rFonts w:ascii="Calibri Light" w:hAnsi="Calibri Light" w:eastAsia="Calibri" w:cs="DejaVu Sans"/>
      <w:color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Pr>
      <w:rFonts w:ascii="Arial" w:hAnsi="Arial" w:eastAsia="Calibri" w:cs="Tahoma"/>
      <w:i/>
      <w:iCs/>
      <w:color w:val="000000"/>
      <w:sz w:val="20"/>
      <w:szCs w:val="24"/>
    </w:rPr>
  </w:style>
  <w:style w:type="character" w:styleId="Nivel01Char" w:customStyle="1">
    <w:name w:val="Nivel 01 Char"/>
    <w:basedOn w:val="Ttulo1Char"/>
    <w:qFormat/>
    <w:rPr>
      <w:rFonts w:ascii="Arial" w:hAnsi="Arial" w:eastAsia="Calibri" w:cs="Times New Roman"/>
      <w:b/>
      <w:bCs/>
      <w:color w:val="000000"/>
      <w:sz w:val="20"/>
      <w:szCs w:val="20"/>
      <w:lang w:eastAsia="pt-BR"/>
    </w:rPr>
  </w:style>
  <w:style w:type="character" w:styleId="Ttulo1Char" w:customStyle="1">
    <w:name w:val="Título 1 Char"/>
    <w:basedOn w:val="DefaultParagraphFont"/>
    <w:qFormat/>
    <w:rPr>
      <w:rFonts w:ascii="Calibri Light" w:hAnsi="Calibri Light" w:eastAsia="Calibri" w:cs="DejaVu Sans"/>
      <w:color w:val="2F5496"/>
      <w:sz w:val="32"/>
      <w:szCs w:val="32"/>
      <w:lang w:eastAsia="pt-BR"/>
    </w:rPr>
  </w:style>
  <w:style w:type="character" w:styleId="Citao2Char" w:customStyle="1">
    <w:name w:val="citação 2 Char"/>
    <w:basedOn w:val="CitaoChar"/>
    <w:qFormat/>
    <w:rPr>
      <w:rFonts w:ascii="Arial" w:hAnsi="Arial" w:eastAsia="Calibri" w:cs="Tahoma"/>
      <w:i/>
      <w:iCs/>
      <w:color w:val="000000"/>
      <w:sz w:val="20"/>
      <w:szCs w:val="20"/>
    </w:rPr>
  </w:style>
  <w:style w:type="character" w:styleId="QuoteChar" w:customStyle="1">
    <w:name w:val="Quote Char"/>
    <w:basedOn w:val="DefaultParagraphFont"/>
    <w:qFormat/>
    <w:rPr>
      <w:rFonts w:ascii="Ecofont_Spranq_eco_Sans" w:hAnsi="Ecofont_Spranq_eco_Sans" w:eastAsia="Calibri" w:cs="Tahoma"/>
      <w:i/>
      <w:iCs/>
      <w:color w:val="000000"/>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Arial" w:hAnsi="Arial" w:eastAsia="Times New Roman" w:cs="Tahoma"/>
      <w:sz w:val="20"/>
      <w:szCs w:val="20"/>
      <w:lang w:eastAsia="pt-BR"/>
    </w:rPr>
  </w:style>
  <w:style w:type="character" w:styleId="AssuntodocomentrioChar" w:customStyle="1">
    <w:name w:val="Assunto do comentário Char"/>
    <w:basedOn w:val="TextodecomentrioChar"/>
    <w:qFormat/>
    <w:rPr>
      <w:rFonts w:ascii="Arial" w:hAnsi="Arial" w:eastAsia="Times New Roman" w:cs="Tahoma"/>
      <w:b/>
      <w:bCs/>
      <w:sz w:val="20"/>
      <w:szCs w:val="20"/>
      <w:lang w:eastAsia="pt-BR"/>
    </w:rPr>
  </w:style>
  <w:style w:type="character" w:styleId="LinkdaInternet" w:customStyle="1">
    <w:name w:val="Link da Internet"/>
    <w:rPr>
      <w:color w:val="000080"/>
      <w:u w:val="single"/>
    </w:rPr>
  </w:style>
  <w:style w:type="character" w:styleId="Nivel4Char" w:customStyle="1">
    <w:name w:val="Nivel 4 Char"/>
    <w:basedOn w:val="DefaultParagraphFont"/>
    <w:qFormat/>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qFormat/>
    <w:rPr>
      <w:rFonts w:ascii="Segoe UI" w:hAnsi="Segoe UI" w:eastAsia="Times New Roman" w:cs="Segoe UI"/>
      <w:sz w:val="18"/>
      <w:szCs w:val="18"/>
      <w:lang w:eastAsia="pt-BR"/>
    </w:rPr>
  </w:style>
  <w:style w:type="character" w:styleId="CabealhoChar" w:customStyle="1">
    <w:name w:val="Cabeçalho Char"/>
    <w:basedOn w:val="DefaultParagraphFont"/>
    <w:qFormat/>
    <w:rPr>
      <w:rFonts w:ascii="Arial" w:hAnsi="Arial" w:eastAsia="Times New Roman" w:cs="Tahoma"/>
      <w:sz w:val="20"/>
      <w:szCs w:val="24"/>
      <w:lang w:eastAsia="pt-BR"/>
    </w:rPr>
  </w:style>
  <w:style w:type="character" w:styleId="RodapChar" w:customStyle="1">
    <w:name w:val="Rodapé Char"/>
    <w:basedOn w:val="DefaultParagraphFont"/>
    <w:qFormat/>
    <w:rPr>
      <w:rFonts w:ascii="Arial" w:hAnsi="Arial" w:eastAsia="Times New Roman" w:cs="Tahoma"/>
      <w:sz w:val="20"/>
      <w:szCs w:val="24"/>
      <w:lang w:eastAsia="pt-BR"/>
    </w:rPr>
  </w:style>
  <w:style w:type="character" w:styleId="Smbolosdenumerao" w:customStyle="1">
    <w:name w:val="Símbolos de numeração"/>
    <w:qFormat/>
    <w:rPr/>
  </w:style>
  <w:style w:type="character" w:styleId="Textooriginal" w:customStyle="1">
    <w:name w:val="Texto original"/>
    <w:qFormat/>
    <w:rPr>
      <w:rFonts w:ascii="Liberation Mono" w:hAnsi="Liberation Mono" w:eastAsia="Liberation Mono" w:cs="Liberation Mono"/>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Marath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Marathi"/>
    </w:rPr>
  </w:style>
  <w:style w:type="paragraph" w:styleId="Ttulododocumento">
    <w:name w:val="Title"/>
    <w:basedOn w:val="Normal"/>
    <w:next w:val="Corpodotexto"/>
    <w:qFormat/>
    <w:pPr>
      <w:keepNext w:val="true"/>
      <w:spacing w:before="240" w:after="120"/>
    </w:pPr>
    <w:rPr>
      <w:rFonts w:ascii="Liberation Sans" w:hAnsi="Liberation Sans" w:eastAsia="Noto Sans CJK SC" w:cs="Lohit Marathi"/>
      <w:sz w:val="28"/>
      <w:szCs w:val="28"/>
    </w:rPr>
  </w:style>
  <w:style w:type="paragraph" w:styleId="Caption">
    <w:name w:val="caption"/>
    <w:basedOn w:val="Normal"/>
    <w:qFormat/>
    <w:pPr>
      <w:suppressLineNumbers/>
      <w:spacing w:before="120" w:after="120"/>
    </w:pPr>
    <w:rPr>
      <w:rFonts w:cs="Lohit Marathi"/>
      <w:i/>
      <w:iCs/>
      <w:sz w:val="24"/>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qFormat/>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qFormat/>
    <w:pPr>
      <w:spacing w:before="0" w:after="0"/>
      <w:ind w:left="720" w:hanging="0"/>
      <w:contextualSpacing/>
    </w:pPr>
    <w:rPr/>
  </w:style>
  <w:style w:type="paragraph" w:styleId="Citao2" w:customStyle="1">
    <w:name w:val="citação 2"/>
    <w:basedOn w:val="Quote"/>
    <w:qFormat/>
    <w:pPr/>
    <w:rPr>
      <w:szCs w:val="20"/>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qFormat/>
    <w:pPr/>
    <w:rPr>
      <w:b/>
      <w:bCs/>
    </w:rPr>
  </w:style>
  <w:style w:type="paragraph" w:styleId="Nivel1" w:customStyle="1">
    <w:name w:val="Nivel1"/>
    <w:basedOn w:val="Ttulo1"/>
    <w:qFormat/>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00000A"/>
    </w:rPr>
  </w:style>
  <w:style w:type="paragraph" w:styleId="Nivel5" w:customStyle="1">
    <w:name w:val="Nivel 5"/>
    <w:basedOn w:val="Nivel4"/>
    <w:qFormat/>
    <w:pPr>
      <w:tabs>
        <w:tab w:val="clear" w:pos="708"/>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Standard" w:customStyle="1">
    <w:name w:val="Standard"/>
    <w:qFormat/>
    <w:pPr>
      <w:widowControl/>
      <w:suppressAutoHyphens w:val="true"/>
      <w:bidi w:val="0"/>
      <w:spacing w:before="0" w:after="0"/>
      <w:jc w:val="left"/>
      <w:textAlignment w:val="baseline"/>
    </w:pPr>
    <w:rPr>
      <w:rFonts w:ascii="Calibri" w:hAnsi="Calibri" w:eastAsia="Calibri" w:cs="DejaVu Sans"/>
      <w:color w:val="00000A"/>
      <w:kern w:val="0"/>
      <w:sz w:val="20"/>
      <w:szCs w:val="22"/>
      <w:lang w:val="pt-BR" w:eastAsia="en-US" w:bidi="ar-SA"/>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1635</TotalTime>
  <Application>LibreOffice/7.3.7.2$Linux_X86_64 LibreOffice_project/30$Build-2</Application>
  <AppVersion>15.0000</AppVersion>
  <Pages>9</Pages>
  <Words>4319</Words>
  <Characters>24854</Characters>
  <CharactersWithSpaces>28862</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2024-02-09T11:14:56Z</cp:lastPrinted>
  <dcterms:modified xsi:type="dcterms:W3CDTF">2024-02-09T11:19:39Z</dcterms:modified>
  <cp:revision>211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